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right"/>
        <w:rPr>
          <w:rFonts w:hint="eastAsia" w:ascii="仿宋_GB2312" w:hAnsi="华文仿宋"/>
          <w:szCs w:val="32"/>
          <w:lang w:val="en-US" w:eastAsia="zh-CN"/>
        </w:rPr>
      </w:pPr>
      <w:r>
        <w:rPr>
          <w:rFonts w:hint="eastAsia" w:ascii="仿宋_GB2312" w:hAnsi="华文仿宋"/>
          <w:szCs w:val="32"/>
        </w:rPr>
        <w:t xml:space="preserve">                         </w:t>
      </w:r>
      <w:r>
        <w:rPr>
          <w:rFonts w:hint="eastAsia" w:ascii="仿宋_GB2312" w:hAnsi="华文仿宋"/>
          <w:szCs w:val="32"/>
          <w:lang w:eastAsia="zh-CN"/>
        </w:rPr>
        <w:t>粤建标函</w:t>
      </w:r>
      <w:r>
        <w:rPr>
          <w:rFonts w:hint="eastAsia" w:ascii="仿宋_GB2312" w:hAnsi="华文仿宋"/>
          <w:szCs w:val="32"/>
        </w:rPr>
        <w:t>〔2019〕</w:t>
      </w:r>
      <w:r>
        <w:rPr>
          <w:rFonts w:hint="eastAsia" w:ascii="仿宋_GB2312" w:hAnsi="华文仿宋"/>
          <w:szCs w:val="32"/>
          <w:lang w:val="en-US" w:eastAsia="zh-CN"/>
        </w:rPr>
        <w:t>819号</w:t>
      </w:r>
    </w:p>
    <w:p>
      <w:pPr>
        <w:spacing w:line="560" w:lineRule="exact"/>
        <w:jc w:val="right"/>
        <w:rPr>
          <w:rFonts w:ascii="仿宋_GB2312" w:hAnsi="仿宋"/>
          <w:szCs w:val="32"/>
        </w:rPr>
      </w:pPr>
      <w:r>
        <w:rPr>
          <w:rFonts w:hint="eastAsia" w:ascii="仿宋_GB2312" w:hAnsi="华文仿宋"/>
          <w:szCs w:val="32"/>
        </w:rPr>
        <w:t xml:space="preserve">                                 </w:t>
      </w:r>
    </w:p>
    <w:p>
      <w:pPr>
        <w:adjustRightInd w:val="0"/>
        <w:snapToGrid w:val="0"/>
        <w:spacing w:line="560" w:lineRule="exact"/>
        <w:jc w:val="center"/>
        <w:rPr>
          <w:rFonts w:hint="eastAsia" w:ascii="方正小标宋简体" w:hAnsi="华文中宋" w:eastAsia="方正小标宋简体"/>
          <w:b/>
          <w:sz w:val="44"/>
          <w:szCs w:val="44"/>
        </w:rPr>
      </w:pPr>
      <w:r>
        <w:rPr>
          <w:rFonts w:hint="eastAsia" w:ascii="方正小标宋简体" w:hAnsi="华文中宋" w:eastAsia="方正小标宋简体"/>
          <w:b/>
          <w:sz w:val="44"/>
          <w:szCs w:val="44"/>
          <w:lang w:eastAsia="zh-CN"/>
        </w:rPr>
        <w:t>广东省住房和城乡建设厅</w:t>
      </w:r>
      <w:r>
        <w:rPr>
          <w:rFonts w:hint="eastAsia" w:ascii="方正小标宋简体" w:hAnsi="华文中宋" w:eastAsia="方正小标宋简体"/>
          <w:b/>
          <w:sz w:val="44"/>
          <w:szCs w:val="44"/>
        </w:rPr>
        <w:t>关于调整</w:t>
      </w:r>
    </w:p>
    <w:p>
      <w:pPr>
        <w:adjustRightInd w:val="0"/>
        <w:snapToGrid w:val="0"/>
        <w:spacing w:line="560" w:lineRule="exact"/>
        <w:jc w:val="center"/>
        <w:rPr>
          <w:rFonts w:hint="eastAsia" w:ascii="方正小标宋简体" w:hAnsi="华文中宋" w:eastAsia="方正小标宋简体"/>
          <w:b/>
          <w:sz w:val="44"/>
          <w:szCs w:val="44"/>
        </w:rPr>
      </w:pPr>
      <w:r>
        <w:rPr>
          <w:rFonts w:hint="eastAsia" w:ascii="方正小标宋简体" w:hAnsi="华文中宋" w:eastAsia="方正小标宋简体"/>
          <w:b/>
          <w:sz w:val="44"/>
          <w:szCs w:val="44"/>
        </w:rPr>
        <w:t>广东省建设工程计价依据增值税</w:t>
      </w:r>
    </w:p>
    <w:p>
      <w:pPr>
        <w:adjustRightInd w:val="0"/>
        <w:snapToGrid w:val="0"/>
        <w:spacing w:line="560" w:lineRule="exact"/>
        <w:jc w:val="center"/>
        <w:rPr>
          <w:rFonts w:ascii="方正小标宋简体" w:hAnsi="华文中宋" w:eastAsia="方正小标宋简体"/>
          <w:b/>
          <w:sz w:val="44"/>
          <w:szCs w:val="44"/>
        </w:rPr>
      </w:pPr>
      <w:r>
        <w:rPr>
          <w:rFonts w:hint="eastAsia" w:ascii="方正小标宋简体" w:hAnsi="华文中宋" w:eastAsia="方正小标宋简体"/>
          <w:b/>
          <w:sz w:val="44"/>
          <w:szCs w:val="44"/>
        </w:rPr>
        <w:t>税率的通知</w:t>
      </w:r>
    </w:p>
    <w:p>
      <w:pPr>
        <w:adjustRightInd w:val="0"/>
        <w:snapToGrid w:val="0"/>
        <w:spacing w:line="560" w:lineRule="exact"/>
        <w:rPr>
          <w:rFonts w:hint="eastAsia" w:ascii="仿宋_GB2312" w:hAnsi="华文仿宋"/>
          <w:szCs w:val="32"/>
          <w:lang w:eastAsia="zh-CN"/>
        </w:rPr>
      </w:pPr>
    </w:p>
    <w:p>
      <w:pPr>
        <w:adjustRightInd w:val="0"/>
        <w:snapToGrid w:val="0"/>
        <w:spacing w:line="560" w:lineRule="exact"/>
        <w:rPr>
          <w:rFonts w:ascii="仿宋_GB2312" w:hAnsi="华文仿宋"/>
          <w:szCs w:val="32"/>
        </w:rPr>
      </w:pPr>
      <w:r>
        <w:rPr>
          <w:rFonts w:hint="eastAsia" w:ascii="仿宋_GB2312" w:hAnsi="华文仿宋"/>
          <w:szCs w:val="32"/>
          <w:lang w:eastAsia="zh-CN"/>
        </w:rPr>
        <w:t>各地级以上市住房城乡建设主管部门，</w:t>
      </w:r>
      <w:r>
        <w:rPr>
          <w:rFonts w:hint="eastAsia" w:ascii="仿宋_GB2312" w:hAnsi="华文仿宋"/>
          <w:szCs w:val="32"/>
        </w:rPr>
        <w:t>各有关单位：</w:t>
      </w:r>
    </w:p>
    <w:p>
      <w:pPr>
        <w:adjustRightInd w:val="0"/>
        <w:snapToGrid w:val="0"/>
        <w:spacing w:line="560" w:lineRule="exact"/>
        <w:rPr>
          <w:rFonts w:ascii="仿宋_GB2312" w:hAnsi="华文仿宋"/>
          <w:szCs w:val="32"/>
        </w:rPr>
      </w:pPr>
      <w:r>
        <w:rPr>
          <w:rFonts w:hint="eastAsia" w:ascii="仿宋_GB2312" w:hAnsi="华文仿宋"/>
          <w:szCs w:val="32"/>
        </w:rPr>
        <w:t xml:space="preserve">    根据《财政部 税务总局 海关总署关于深化增值税改革有关政策的公告》（财政部 税务总局 海关总署公告2019年第39号）和《住房城乡建设部办公厅关于重新调整建设工程计价依据增值税税率的通知》（建办标函〔2019〕193号）的要求，</w:t>
      </w:r>
      <w:r>
        <w:rPr>
          <w:rFonts w:hint="eastAsia" w:ascii="仿宋_GB2312" w:hAnsi="华文仿宋"/>
          <w:szCs w:val="32"/>
          <w:lang w:eastAsia="zh-CN"/>
        </w:rPr>
        <w:t>现</w:t>
      </w:r>
      <w:r>
        <w:rPr>
          <w:rFonts w:hint="eastAsia" w:ascii="仿宋_GB2312" w:hAnsi="华文仿宋"/>
          <w:szCs w:val="32"/>
        </w:rPr>
        <w:t>对</w:t>
      </w:r>
      <w:r>
        <w:rPr>
          <w:rFonts w:hint="eastAsia" w:ascii="仿宋_GB2312" w:hAnsi="华文仿宋"/>
          <w:szCs w:val="32"/>
          <w:lang w:eastAsia="zh-CN"/>
        </w:rPr>
        <w:t>调整</w:t>
      </w:r>
      <w:r>
        <w:rPr>
          <w:rFonts w:hint="eastAsia" w:ascii="仿宋_GB2312" w:hAnsi="华文仿宋"/>
          <w:szCs w:val="32"/>
        </w:rPr>
        <w:t>我省建设工程计价</w:t>
      </w:r>
      <w:r>
        <w:rPr>
          <w:rFonts w:hint="eastAsia" w:ascii="仿宋_GB2312" w:hAnsi="华文仿宋"/>
          <w:szCs w:val="32"/>
          <w:lang w:eastAsia="zh-CN"/>
        </w:rPr>
        <w:t>依据增值税税率事项通知</w:t>
      </w:r>
      <w:r>
        <w:rPr>
          <w:rFonts w:hint="eastAsia" w:ascii="仿宋_GB2312" w:hAnsi="华文仿宋"/>
          <w:szCs w:val="32"/>
        </w:rPr>
        <w:t>如下：</w:t>
      </w:r>
    </w:p>
    <w:p>
      <w:pPr>
        <w:ind w:firstLine="640" w:firstLineChars="200"/>
      </w:pPr>
      <w:r>
        <w:rPr>
          <w:rFonts w:hint="eastAsia"/>
        </w:rPr>
        <w:t>一、以《广东省建设工程计价依据(2018)》（包含《广东省房屋建筑与装饰工程综合定额》、《广东省市政工程综合定额》、《广东省通用安装工程综合定额》、《广东省园林绿化工程综合定额》）、《广东省城市轨道交通工程综合定额》、《广东省城市地下综合管廊工程综合定额》、《广东省传统建筑保护修复工程综合定额（试行）》、《广东省南粤古驿道保护与修复工程造价费用计价指引（试行）》为计价依据的建设工程，采用一般计税方法计税的，增值税税率由10%调整为9%；采用简易计税方法计税</w:t>
      </w:r>
    </w:p>
    <w:p>
      <w:r>
        <w:rPr>
          <w:rFonts w:hint="eastAsia"/>
        </w:rPr>
        <w:t>的，税率为3%；计价依据中以“元”为单位的要素价格和以费率形式计取的有关费用标准不变。</w:t>
      </w:r>
    </w:p>
    <w:p>
      <w:r>
        <w:rPr>
          <w:rFonts w:hint="eastAsia"/>
        </w:rPr>
        <w:t xml:space="preserve">    二、以2010年印发的《广东省建设工程计价依据》为计价依据的建设工程，采用一般计税方法计税的，增值税税率调整为9%；采用简易计税方法计税的，税率为3%；计价依据中以“元”为单位的要素价格和以费率形式计取的有关费用标准按</w:t>
      </w:r>
      <w:r>
        <w:rPr>
          <w:rFonts w:hint="eastAsia" w:hAnsi="仿宋_GB2312" w:cs="仿宋_GB2312"/>
        </w:rPr>
        <w:t>《广东省住房和城乡建设厅关于营业税改征增值税后调整广东省建设工程计价依据的通知》（粤建市函〔2016〕1113号）</w:t>
      </w:r>
      <w:r>
        <w:rPr>
          <w:rFonts w:hint="eastAsia"/>
        </w:rPr>
        <w:t>执行。</w:t>
      </w:r>
    </w:p>
    <w:p>
      <w:pPr>
        <w:adjustRightInd w:val="0"/>
        <w:snapToGrid w:val="0"/>
        <w:spacing w:line="560" w:lineRule="exact"/>
        <w:ind w:firstLine="650"/>
        <w:rPr>
          <w:rFonts w:ascii="仿宋_GB2312" w:hAnsi="华文仿宋"/>
          <w:szCs w:val="32"/>
        </w:rPr>
      </w:pPr>
      <w:r>
        <w:rPr>
          <w:rFonts w:hint="eastAsia" w:ascii="仿宋_GB2312" w:hAnsi="华文仿宋"/>
          <w:szCs w:val="32"/>
        </w:rPr>
        <w:t xml:space="preserve"> 三、各级造价管理机构应及时调整材料价格信息。</w:t>
      </w:r>
    </w:p>
    <w:p>
      <w:pPr>
        <w:adjustRightInd w:val="0"/>
        <w:snapToGrid w:val="0"/>
        <w:spacing w:line="560" w:lineRule="exact"/>
        <w:ind w:firstLine="650"/>
        <w:rPr>
          <w:rFonts w:ascii="仿宋_GB2312" w:hAnsi="华文仿宋"/>
          <w:szCs w:val="32"/>
        </w:rPr>
      </w:pPr>
      <w:r>
        <w:rPr>
          <w:rFonts w:hint="eastAsia" w:ascii="仿宋_GB2312" w:hAnsi="华文仿宋"/>
          <w:szCs w:val="32"/>
        </w:rPr>
        <w:t xml:space="preserve"> 四、在我省行政区域内销售的计价软件应按本通知要求调整工料机数据库和计价程序。</w:t>
      </w:r>
    </w:p>
    <w:p>
      <w:pPr>
        <w:adjustRightInd w:val="0"/>
        <w:snapToGrid w:val="0"/>
        <w:spacing w:line="560" w:lineRule="exact"/>
        <w:ind w:firstLine="650"/>
        <w:rPr>
          <w:rFonts w:ascii="仿宋_GB2312" w:hAnsi="华文仿宋"/>
          <w:szCs w:val="32"/>
        </w:rPr>
      </w:pPr>
      <w:r>
        <w:rPr>
          <w:rFonts w:hint="eastAsia" w:ascii="仿宋_GB2312" w:hAnsi="华文仿宋"/>
          <w:szCs w:val="32"/>
        </w:rPr>
        <w:t xml:space="preserve"> 五、2019年4月1日前尚未批复的概预算，采用一般计税方法计税的，增值税税率为9%。</w:t>
      </w:r>
    </w:p>
    <w:p>
      <w:pPr>
        <w:adjustRightInd w:val="0"/>
        <w:snapToGrid w:val="0"/>
        <w:spacing w:line="560" w:lineRule="exact"/>
        <w:rPr>
          <w:rFonts w:ascii="仿宋_GB2312" w:hAnsi="华文仿宋"/>
          <w:szCs w:val="32"/>
        </w:rPr>
      </w:pPr>
      <w:r>
        <w:rPr>
          <w:rFonts w:hint="eastAsia" w:ascii="仿宋_GB2312" w:hAnsi="华文仿宋"/>
          <w:szCs w:val="32"/>
        </w:rPr>
        <w:t xml:space="preserve">    六、2019年4月1日前已实施的项目，按实际开具增值税发票对应的工程量及其增值税税率计价。</w:t>
      </w:r>
    </w:p>
    <w:p>
      <w:pPr>
        <w:adjustRightInd w:val="0"/>
        <w:snapToGrid w:val="0"/>
        <w:spacing w:line="560" w:lineRule="exact"/>
        <w:ind w:firstLine="640" w:firstLineChars="200"/>
        <w:rPr>
          <w:rFonts w:hint="eastAsia" w:ascii="仿宋_GB2312" w:hAnsi="华文仿宋"/>
          <w:szCs w:val="32"/>
        </w:rPr>
      </w:pPr>
      <w:r>
        <w:rPr>
          <w:rFonts w:hint="eastAsia" w:ascii="仿宋_GB2312" w:hAnsi="华文仿宋"/>
          <w:szCs w:val="32"/>
        </w:rPr>
        <w:t>执行中如有意见和建议，请及时向广东省建设工程标准定额站反映。</w:t>
      </w:r>
    </w:p>
    <w:p>
      <w:pPr>
        <w:adjustRightInd w:val="0"/>
        <w:snapToGrid w:val="0"/>
        <w:spacing w:line="600" w:lineRule="exact"/>
        <w:jc w:val="center"/>
        <w:rPr>
          <w:rFonts w:hint="eastAsia" w:ascii="仿宋_GB2312" w:hAnsi="华文仿宋"/>
          <w:szCs w:val="32"/>
          <w:lang w:val="en-US" w:eastAsia="zh-CN"/>
        </w:rPr>
      </w:pPr>
      <w:r>
        <w:rPr>
          <w:rFonts w:hint="eastAsia" w:ascii="仿宋_GB2312" w:hAnsi="华文仿宋"/>
          <w:szCs w:val="32"/>
          <w:lang w:val="en-US" w:eastAsia="zh-CN"/>
        </w:rPr>
        <w:t xml:space="preserve">  </w:t>
      </w:r>
    </w:p>
    <w:p>
      <w:pPr>
        <w:adjustRightInd w:val="0"/>
        <w:snapToGrid w:val="0"/>
        <w:spacing w:line="600" w:lineRule="exact"/>
        <w:jc w:val="center"/>
        <w:rPr>
          <w:rFonts w:hint="eastAsia"/>
        </w:rPr>
      </w:pPr>
      <w:r>
        <w:rPr>
          <w:rFonts w:hint="eastAsia" w:ascii="仿宋_GB2312" w:hAnsi="华文仿宋"/>
          <w:szCs w:val="32"/>
          <w:lang w:val="en-US" w:eastAsia="zh-CN"/>
        </w:rPr>
        <w:t xml:space="preserve">   </w:t>
      </w:r>
      <w:r>
        <w:rPr>
          <w:rFonts w:hint="eastAsia" w:ascii="仿宋_GB2312" w:hAnsi="华文仿宋"/>
          <w:szCs w:val="32"/>
          <w:lang w:eastAsia="zh-CN"/>
        </w:rPr>
        <w:t>附件：</w:t>
      </w:r>
      <w:r>
        <w:rPr>
          <w:rFonts w:hint="eastAsia"/>
        </w:rPr>
        <w:t>住房和城乡建设部办公厅关于重新调整建设工程计</w:t>
      </w:r>
    </w:p>
    <w:p>
      <w:pPr>
        <w:adjustRightInd w:val="0"/>
        <w:snapToGrid w:val="0"/>
        <w:spacing w:line="600" w:lineRule="exact"/>
        <w:jc w:val="center"/>
        <w:rPr>
          <w:rFonts w:hint="eastAsia" w:ascii="仿宋_GB2312" w:eastAsia="仿宋_GB2312"/>
          <w:color w:val="000000"/>
          <w:szCs w:val="32"/>
          <w:lang w:eastAsia="zh-CN"/>
        </w:rPr>
      </w:pPr>
      <w:r>
        <w:rPr>
          <w:rFonts w:hint="eastAsia"/>
          <w:lang w:val="en-US" w:eastAsia="zh-CN"/>
        </w:rPr>
        <w:t xml:space="preserve">          </w:t>
      </w:r>
      <w:r>
        <w:rPr>
          <w:rFonts w:hint="eastAsia"/>
        </w:rPr>
        <w:t>依据增值税税率的通知</w:t>
      </w:r>
      <w:r>
        <w:rPr>
          <w:rFonts w:hint="eastAsia"/>
          <w:lang w:eastAsia="zh-CN"/>
        </w:rPr>
        <w:t>（</w:t>
      </w:r>
      <w:r>
        <w:rPr>
          <w:rFonts w:hint="eastAsia" w:ascii="仿宋_GB2312"/>
          <w:color w:val="000000"/>
          <w:szCs w:val="32"/>
        </w:rPr>
        <w:t>建办标函〔2019〕193号</w:t>
      </w:r>
      <w:r>
        <w:rPr>
          <w:rFonts w:hint="eastAsia" w:ascii="仿宋_GB2312"/>
          <w:color w:val="000000"/>
          <w:szCs w:val="32"/>
          <w:lang w:eastAsia="zh-CN"/>
        </w:rPr>
        <w:t>）</w:t>
      </w:r>
    </w:p>
    <w:p>
      <w:pPr>
        <w:adjustRightInd w:val="0"/>
        <w:snapToGrid w:val="0"/>
        <w:spacing w:line="560" w:lineRule="exact"/>
        <w:rPr>
          <w:rFonts w:hint="eastAsia" w:ascii="仿宋_GB2312" w:hAnsi="华文仿宋" w:eastAsia="仿宋_GB2312"/>
          <w:szCs w:val="32"/>
          <w:lang w:eastAsia="zh-CN"/>
        </w:rPr>
      </w:pPr>
    </w:p>
    <w:p>
      <w:pPr>
        <w:adjustRightInd w:val="0"/>
        <w:snapToGrid w:val="0"/>
        <w:spacing w:line="560" w:lineRule="exact"/>
        <w:ind w:firstLine="640" w:firstLineChars="200"/>
        <w:rPr>
          <w:rFonts w:ascii="仿宋_GB2312" w:hAnsi="华文仿宋"/>
          <w:szCs w:val="32"/>
        </w:rPr>
      </w:pPr>
    </w:p>
    <w:p>
      <w:pPr>
        <w:adjustRightInd w:val="0"/>
        <w:snapToGrid w:val="0"/>
        <w:spacing w:line="560" w:lineRule="exact"/>
        <w:ind w:firstLine="4160" w:firstLineChars="1300"/>
        <w:rPr>
          <w:rFonts w:ascii="仿宋_GB2312" w:hAnsi="华文仿宋"/>
          <w:szCs w:val="32"/>
        </w:rPr>
      </w:pPr>
      <w:r>
        <w:rPr>
          <w:rFonts w:hint="eastAsia" w:ascii="仿宋_GB2312" w:hAnsi="华文仿宋"/>
          <w:szCs w:val="32"/>
        </w:rPr>
        <w:t>广东省住房和城乡建设厅</w:t>
      </w:r>
    </w:p>
    <w:p>
      <w:pPr>
        <w:adjustRightInd w:val="0"/>
        <w:snapToGrid w:val="0"/>
        <w:spacing w:line="560" w:lineRule="exact"/>
        <w:rPr>
          <w:rFonts w:ascii="仿宋_GB2312" w:hAnsi="华文仿宋"/>
          <w:szCs w:val="32"/>
        </w:rPr>
      </w:pPr>
      <w:r>
        <w:rPr>
          <w:rFonts w:hint="eastAsia" w:ascii="仿宋_GB2312" w:hAnsi="华文仿宋"/>
          <w:szCs w:val="32"/>
        </w:rPr>
        <w:t xml:space="preserve">                             2019年</w:t>
      </w:r>
      <w:r>
        <w:rPr>
          <w:rFonts w:hint="eastAsia" w:ascii="仿宋_GB2312" w:hAnsi="华文仿宋"/>
          <w:szCs w:val="32"/>
          <w:lang w:val="en-US" w:eastAsia="zh-CN"/>
        </w:rPr>
        <w:t>4</w:t>
      </w:r>
      <w:r>
        <w:rPr>
          <w:rFonts w:hint="eastAsia" w:ascii="仿宋_GB2312" w:hAnsi="华文仿宋"/>
          <w:szCs w:val="32"/>
        </w:rPr>
        <w:t>月</w:t>
      </w:r>
      <w:r>
        <w:rPr>
          <w:rFonts w:hint="eastAsia" w:ascii="仿宋_GB2312" w:hAnsi="华文仿宋"/>
          <w:szCs w:val="32"/>
          <w:lang w:val="en-US" w:eastAsia="zh-CN"/>
        </w:rPr>
        <w:t>29</w:t>
      </w:r>
      <w:r>
        <w:rPr>
          <w:rFonts w:hint="eastAsia" w:ascii="仿宋_GB2312" w:hAnsi="华文仿宋"/>
          <w:szCs w:val="32"/>
        </w:rPr>
        <w:t>日</w:t>
      </w:r>
    </w:p>
    <w:p>
      <w:pPr>
        <w:spacing w:line="560" w:lineRule="exact"/>
        <w:jc w:val="left"/>
        <w:rPr>
          <w:rFonts w:ascii="仿宋_GB2312" w:hAnsi="华文仿宋"/>
          <w:szCs w:val="32"/>
        </w:rPr>
      </w:pPr>
      <w:r>
        <w:rPr>
          <w:rFonts w:hint="eastAsia" w:ascii="仿宋_GB2312" w:hAnsi="华文仿宋"/>
          <w:szCs w:val="32"/>
        </w:rPr>
        <w:t xml:space="preserve">        </w:t>
      </w:r>
    </w:p>
    <w:p>
      <w:pPr>
        <w:adjustRightInd w:val="0"/>
        <w:snapToGrid w:val="0"/>
        <w:spacing w:line="600" w:lineRule="exact"/>
        <w:rPr>
          <w:rFonts w:ascii="仿宋_GB2312" w:hAnsi="华文仿宋"/>
          <w:szCs w:val="32"/>
        </w:rPr>
      </w:pPr>
      <w:r>
        <w:rPr>
          <w:rFonts w:hint="eastAsia" w:ascii="仿宋_GB2312" w:hAnsi="华文仿宋"/>
          <w:szCs w:val="32"/>
        </w:rPr>
        <w:t>附件：</w:t>
      </w:r>
    </w:p>
    <w:p>
      <w:pPr>
        <w:rPr>
          <w:szCs w:val="24"/>
        </w:rPr>
      </w:pPr>
      <w:r>
        <w:drawing>
          <wp:inline distT="0" distB="0" distL="0" distR="0">
            <wp:extent cx="5581650" cy="2524125"/>
            <wp:effectExtent l="1905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4" cstate="print"/>
                    <a:srcRect b="52351"/>
                    <a:stretch>
                      <a:fillRect/>
                    </a:stretch>
                  </pic:blipFill>
                  <pic:spPr>
                    <a:xfrm>
                      <a:off x="0" y="0"/>
                      <a:ext cx="5581650" cy="2524125"/>
                    </a:xfrm>
                    <a:prstGeom prst="rect">
                      <a:avLst/>
                    </a:prstGeom>
                    <a:noFill/>
                    <a:ln w="9525">
                      <a:noFill/>
                      <a:miter lim="800000"/>
                      <a:headEnd/>
                      <a:tailEnd/>
                    </a:ln>
                  </pic:spPr>
                </pic:pic>
              </a:graphicData>
            </a:graphic>
          </wp:inline>
        </w:drawing>
      </w:r>
    </w:p>
    <w:p>
      <w:pPr>
        <w:adjustRightInd w:val="0"/>
        <w:snapToGrid w:val="0"/>
        <w:spacing w:line="600" w:lineRule="exact"/>
        <w:jc w:val="center"/>
        <w:rPr>
          <w:rFonts w:ascii="方正小标宋简体" w:eastAsia="方正小标宋简体"/>
          <w:b/>
          <w:bCs/>
          <w:color w:val="000000"/>
          <w:sz w:val="44"/>
          <w:szCs w:val="44"/>
        </w:rPr>
      </w:pPr>
      <w:r>
        <w:rPr>
          <w:rFonts w:hint="eastAsia" w:ascii="方正小标宋简体" w:eastAsia="方正小标宋简体"/>
          <w:b/>
          <w:bCs/>
          <w:color w:val="000000"/>
          <w:sz w:val="44"/>
          <w:szCs w:val="44"/>
        </w:rPr>
        <w:t>住房和城乡建设部办公厅关于重新调整</w:t>
      </w:r>
      <w:r>
        <w:rPr>
          <w:rFonts w:hint="eastAsia" w:ascii="方正小标宋简体" w:eastAsia="方正小标宋简体"/>
          <w:b/>
          <w:bCs/>
          <w:color w:val="000000"/>
          <w:sz w:val="44"/>
          <w:szCs w:val="44"/>
        </w:rPr>
        <w:br w:type="textWrapping"/>
      </w:r>
      <w:r>
        <w:rPr>
          <w:rFonts w:hint="eastAsia" w:ascii="方正小标宋简体" w:eastAsia="方正小标宋简体"/>
          <w:b/>
          <w:bCs/>
          <w:color w:val="000000"/>
          <w:sz w:val="44"/>
          <w:szCs w:val="44"/>
        </w:rPr>
        <w:t>建设工程计价依据增值税税率的通知</w:t>
      </w:r>
    </w:p>
    <w:p>
      <w:pPr>
        <w:adjustRightInd w:val="0"/>
        <w:snapToGrid w:val="0"/>
        <w:spacing w:line="600" w:lineRule="exact"/>
        <w:jc w:val="center"/>
        <w:rPr>
          <w:rFonts w:ascii="仿宋_GB2312"/>
          <w:color w:val="000000"/>
          <w:szCs w:val="32"/>
        </w:rPr>
      </w:pPr>
      <w:r>
        <w:rPr>
          <w:rFonts w:hint="eastAsia" w:ascii="仿宋_GB2312"/>
          <w:color w:val="000000"/>
          <w:szCs w:val="32"/>
        </w:rPr>
        <w:t>建办标函〔2019〕193号</w:t>
      </w:r>
    </w:p>
    <w:p>
      <w:pPr>
        <w:widowControl/>
        <w:adjustRightInd w:val="0"/>
        <w:snapToGrid w:val="0"/>
        <w:spacing w:line="600" w:lineRule="exact"/>
        <w:jc w:val="left"/>
        <w:rPr>
          <w:rFonts w:ascii="仿宋_GB2312" w:hAnsi="宋体" w:cs="宋体"/>
          <w:color w:val="000000"/>
          <w:kern w:val="0"/>
          <w:szCs w:val="32"/>
        </w:rPr>
      </w:pPr>
    </w:p>
    <w:p>
      <w:pPr>
        <w:widowControl/>
        <w:adjustRightInd w:val="0"/>
        <w:snapToGrid w:val="0"/>
        <w:spacing w:line="600" w:lineRule="exact"/>
        <w:jc w:val="left"/>
        <w:rPr>
          <w:rFonts w:ascii="仿宋_GB2312" w:hAnsi="宋体" w:cs="宋体"/>
          <w:color w:val="000000"/>
          <w:kern w:val="0"/>
          <w:szCs w:val="32"/>
        </w:rPr>
      </w:pPr>
      <w:r>
        <w:rPr>
          <w:rFonts w:hint="eastAsia" w:ascii="仿宋_GB2312" w:hAnsi="宋体" w:cs="宋体"/>
          <w:color w:val="000000"/>
          <w:kern w:val="0"/>
          <w:szCs w:val="32"/>
        </w:rPr>
        <w:t>各省、自治区住房和城乡建设厅，直辖市住房和城乡建设（管）委，新疆生产建设兵团住房和城乡建设局，国务院有关部门：</w:t>
      </w:r>
    </w:p>
    <w:p>
      <w:pPr>
        <w:widowControl/>
        <w:adjustRightInd w:val="0"/>
        <w:snapToGrid w:val="0"/>
        <w:spacing w:line="600" w:lineRule="exact"/>
        <w:jc w:val="left"/>
        <w:rPr>
          <w:rFonts w:ascii="仿宋_GB2312" w:hAnsi="宋体" w:cs="宋体"/>
          <w:color w:val="000000"/>
          <w:kern w:val="0"/>
          <w:szCs w:val="32"/>
        </w:rPr>
      </w:pPr>
      <w:r>
        <w:rPr>
          <w:rFonts w:hint="eastAsia" w:ascii="仿宋_GB2312" w:hAnsi="宋体" w:cs="宋体"/>
          <w:color w:val="000000"/>
          <w:kern w:val="0"/>
          <w:szCs w:val="32"/>
        </w:rPr>
        <w:t>　　按照《财政部 税务总局 海关总署关于深化增值税改革有关政策的公告》（财政部 税务总局 海关总署公告2019年第39号）规定，现将《住房城乡建设部办公厅关于调整建设工程计价依据增值税税率的通知》（建办标〔2018〕20号）规定的工程造价计价依据中增值税税率由10%调整为9%。</w:t>
      </w:r>
    </w:p>
    <w:p>
      <w:pPr>
        <w:widowControl/>
        <w:adjustRightInd w:val="0"/>
        <w:snapToGrid w:val="0"/>
        <w:spacing w:line="600" w:lineRule="exact"/>
        <w:jc w:val="left"/>
        <w:rPr>
          <w:rFonts w:ascii="仿宋_GB2312" w:hAnsi="宋体" w:cs="宋体"/>
          <w:color w:val="000000"/>
          <w:kern w:val="0"/>
          <w:szCs w:val="32"/>
        </w:rPr>
      </w:pPr>
      <w:r>
        <w:rPr>
          <w:rFonts w:hint="eastAsia" w:ascii="仿宋_GB2312" w:hAnsi="宋体" w:cs="宋体"/>
          <w:color w:val="000000"/>
          <w:kern w:val="0"/>
          <w:szCs w:val="32"/>
        </w:rPr>
        <w:t>　　请各地区、各部门按照本通知要求，组织有关单位于2019年3月底前完成建设工程造价计价依据和相关计价软件的调整工作。</w:t>
      </w:r>
    </w:p>
    <w:p>
      <w:pPr>
        <w:widowControl/>
        <w:adjustRightInd w:val="0"/>
        <w:snapToGrid w:val="0"/>
        <w:spacing w:line="600" w:lineRule="exact"/>
        <w:jc w:val="right"/>
        <w:rPr>
          <w:rFonts w:ascii="仿宋_GB2312" w:hAnsi="宋体" w:cs="宋体"/>
          <w:color w:val="000000"/>
          <w:kern w:val="0"/>
          <w:szCs w:val="32"/>
        </w:rPr>
      </w:pPr>
      <w:r>
        <w:rPr>
          <w:rFonts w:hint="eastAsia" w:ascii="仿宋_GB2312" w:hAnsi="宋体" w:cs="宋体"/>
          <w:color w:val="000000"/>
          <w:kern w:val="0"/>
          <w:szCs w:val="32"/>
        </w:rPr>
        <w:br w:type="textWrapping"/>
      </w:r>
      <w:r>
        <w:rPr>
          <w:rFonts w:hint="eastAsia" w:ascii="仿宋_GB2312" w:hAnsi="宋体" w:cs="宋体"/>
          <w:color w:val="000000"/>
          <w:kern w:val="0"/>
          <w:szCs w:val="32"/>
        </w:rPr>
        <w:t>　　　　　　　　　　　　　　　　　　　　　　　　　　　　　　　　　　中华人民共和国住房和城乡建设部办公厅　　　　　　　　　　　　　　　　　　　　　　　　　　　　　　　　　　　　　　　　2019年3月26日</w:t>
      </w:r>
    </w:p>
    <w:p>
      <w:pPr>
        <w:widowControl/>
        <w:adjustRightInd w:val="0"/>
        <w:snapToGrid w:val="0"/>
        <w:spacing w:line="600" w:lineRule="exact"/>
        <w:jc w:val="left"/>
        <w:rPr>
          <w:rFonts w:ascii="仿宋_GB2312" w:hAnsi="宋体" w:cs="宋体"/>
          <w:color w:val="000000"/>
          <w:kern w:val="0"/>
          <w:szCs w:val="32"/>
        </w:rPr>
      </w:pPr>
      <w:r>
        <w:rPr>
          <w:rFonts w:hint="eastAsia" w:ascii="仿宋_GB2312" w:hAnsi="宋体" w:cs="宋体"/>
          <w:color w:val="000000"/>
          <w:kern w:val="0"/>
          <w:szCs w:val="32"/>
        </w:rPr>
        <w:t>　　</w:t>
      </w:r>
    </w:p>
    <w:p>
      <w:pPr>
        <w:widowControl/>
        <w:adjustRightInd w:val="0"/>
        <w:snapToGrid w:val="0"/>
        <w:spacing w:line="600" w:lineRule="exact"/>
        <w:jc w:val="left"/>
        <w:rPr>
          <w:rFonts w:ascii="仿宋_GB2312" w:hAnsi="宋体" w:cs="宋体"/>
          <w:color w:val="000000"/>
          <w:kern w:val="0"/>
          <w:szCs w:val="32"/>
        </w:rPr>
      </w:pPr>
      <w:r>
        <w:rPr>
          <w:rFonts w:hint="eastAsia" w:ascii="仿宋_GB2312" w:hAnsi="宋体" w:cs="宋体"/>
          <w:color w:val="000000"/>
          <w:kern w:val="0"/>
          <w:szCs w:val="32"/>
        </w:rPr>
        <w:t>（此件主动公开）</w:t>
      </w:r>
    </w:p>
    <w:p>
      <w:pPr>
        <w:adjustRightInd w:val="0"/>
        <w:snapToGrid w:val="0"/>
        <w:spacing w:line="600" w:lineRule="exact"/>
        <w:rPr>
          <w:rFonts w:ascii="仿宋_GB2312"/>
          <w:szCs w:val="32"/>
        </w:rPr>
      </w:pPr>
    </w:p>
    <w:p>
      <w:pPr>
        <w:adjustRightInd w:val="0"/>
        <w:snapToGrid w:val="0"/>
        <w:spacing w:line="600" w:lineRule="exact"/>
        <w:rPr>
          <w:rFonts w:ascii="仿宋_GB2312" w:hAnsi="华文仿宋"/>
          <w:szCs w:val="32"/>
        </w:rPr>
      </w:pPr>
    </w:p>
    <w:p>
      <w:pPr>
        <w:adjustRightInd w:val="0"/>
        <w:snapToGrid w:val="0"/>
        <w:spacing w:line="560" w:lineRule="exact"/>
        <w:rPr>
          <w:rFonts w:ascii="仿宋_GB2312"/>
          <w:szCs w:val="32"/>
        </w:rPr>
      </w:pPr>
      <w:bookmarkStart w:id="0" w:name="_GoBack"/>
      <w:bookmarkEnd w:id="0"/>
    </w:p>
    <w:p>
      <w:pPr>
        <w:adjustRightInd w:val="0"/>
        <w:snapToGrid w:val="0"/>
        <w:spacing w:line="560" w:lineRule="exact"/>
        <w:rPr>
          <w:rFonts w:ascii="仿宋_GB2312"/>
          <w:szCs w:val="32"/>
        </w:rPr>
      </w:pPr>
    </w:p>
    <w:p>
      <w:pPr>
        <w:adjustRightInd w:val="0"/>
        <w:snapToGrid w:val="0"/>
        <w:spacing w:line="560" w:lineRule="exact"/>
        <w:rPr>
          <w:rFonts w:ascii="仿宋_GB2312"/>
          <w:szCs w:val="32"/>
        </w:rPr>
      </w:pPr>
    </w:p>
    <w:p>
      <w:pPr>
        <w:adjustRightInd w:val="0"/>
        <w:snapToGrid w:val="0"/>
        <w:spacing w:line="560" w:lineRule="exact"/>
        <w:rPr>
          <w:rFonts w:ascii="仿宋_GB2312"/>
          <w:szCs w:val="32"/>
        </w:rPr>
      </w:pPr>
    </w:p>
    <w:p>
      <w:pPr>
        <w:adjustRightInd w:val="0"/>
        <w:snapToGrid w:val="0"/>
        <w:spacing w:line="560" w:lineRule="exact"/>
        <w:rPr>
          <w:rFonts w:ascii="仿宋_GB2312"/>
          <w:szCs w:val="32"/>
        </w:rPr>
      </w:pPr>
    </w:p>
    <w:p>
      <w:pPr>
        <w:adjustRightInd w:val="0"/>
        <w:snapToGrid w:val="0"/>
        <w:spacing w:line="560" w:lineRule="exact"/>
        <w:rPr>
          <w:rFonts w:ascii="仿宋_GB2312"/>
          <w:szCs w:val="32"/>
        </w:rPr>
      </w:pPr>
    </w:p>
    <w:p>
      <w:pPr>
        <w:adjustRightInd w:val="0"/>
        <w:snapToGrid w:val="0"/>
        <w:spacing w:line="560" w:lineRule="exact"/>
        <w:rPr>
          <w:rFonts w:ascii="仿宋_GB2312"/>
          <w:szCs w:val="32"/>
        </w:rPr>
      </w:pPr>
    </w:p>
    <w:p>
      <w:pPr>
        <w:adjustRightInd w:val="0"/>
        <w:snapToGrid w:val="0"/>
        <w:spacing w:line="560" w:lineRule="exact"/>
        <w:rPr>
          <w:rFonts w:ascii="仿宋_GB2312"/>
          <w:szCs w:val="32"/>
        </w:rPr>
      </w:pPr>
    </w:p>
    <w:p>
      <w:pPr>
        <w:adjustRightInd w:val="0"/>
        <w:snapToGrid w:val="0"/>
        <w:spacing w:line="560" w:lineRule="exact"/>
        <w:rPr>
          <w:rFonts w:ascii="仿宋_GB2312"/>
          <w:szCs w:val="32"/>
        </w:rPr>
      </w:pPr>
    </w:p>
    <w:sectPr>
      <w:pgSz w:w="11906" w:h="16838"/>
      <w:pgMar w:top="2041" w:right="1588"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9284B"/>
    <w:rsid w:val="007128B7"/>
    <w:rsid w:val="00721C16"/>
    <w:rsid w:val="007C4036"/>
    <w:rsid w:val="00F66C81"/>
    <w:rsid w:val="00F9284B"/>
    <w:rsid w:val="00FD7637"/>
    <w:rsid w:val="2FD204EF"/>
    <w:rsid w:val="3BAD6034"/>
    <w:rsid w:val="55C57893"/>
    <w:rsid w:val="5B9041FF"/>
    <w:rsid w:val="6EE55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3"/>
    <w:link w:val="2"/>
    <w:semiHidden/>
    <w:qFormat/>
    <w:uiPriority w:val="99"/>
    <w:rPr>
      <w:rFonts w:ascii="Times New Roman" w:hAnsi="Times New Roman" w:eastAsia="仿宋_GB2312" w:cs="Times New Roman"/>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267</Words>
  <Characters>1528</Characters>
  <Lines>12</Lines>
  <Paragraphs>3</Paragraphs>
  <TotalTime>1</TotalTime>
  <ScaleCrop>false</ScaleCrop>
  <LinksUpToDate>false</LinksUpToDate>
  <CharactersWithSpaces>1792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2019-04-28T06:35:00Z</dcterms:created>
  <dc:creator>朱慧琴</dc:creator>
  <cp:lastModifiedBy>阮菁英</cp:lastModifiedBy>
  <cp:lastPrinted>2019-04-29T08:47:00Z</cp:lastPrinted>
  <dcterms:modified xsi:type="dcterms:W3CDTF">2019-05-07T03:07:38Z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ribbonExt">
    <vt:lpwstr>{"WPSExtOfficeTab":{"OnGetEnabled":false,"OnGetVisible":false}}</vt:lpwstr>
  </property>
</Properties>
</file>